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61C" w:rsidRPr="0030161C" w:rsidRDefault="0030161C" w:rsidP="0030161C">
      <w:pPr>
        <w:jc w:val="center"/>
        <w:rPr>
          <w:rFonts w:ascii="Calibri" w:eastAsia="Calibri" w:hAnsi="Calibri" w:cs="Times New Roman"/>
          <w:b/>
        </w:rPr>
      </w:pPr>
      <w:r w:rsidRPr="0030161C">
        <w:rPr>
          <w:rFonts w:ascii="Calibri" w:eastAsia="Calibri" w:hAnsi="Calibri" w:cs="Times New Roman"/>
          <w:b/>
        </w:rPr>
        <w:t>SPECYFIKACJA TECHNICZNA OFERTY</w:t>
      </w:r>
    </w:p>
    <w:p w:rsidR="0030161C" w:rsidRPr="0030161C" w:rsidRDefault="0030161C" w:rsidP="0030161C">
      <w:pPr>
        <w:rPr>
          <w:rFonts w:ascii="Calibri" w:eastAsia="Calibri" w:hAnsi="Calibri" w:cs="Times New Roman"/>
        </w:rPr>
      </w:pPr>
    </w:p>
    <w:p w:rsidR="0030161C" w:rsidRPr="0030161C" w:rsidRDefault="0030161C" w:rsidP="0030161C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30161C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30161C" w:rsidRPr="0030161C" w:rsidTr="00E446C3">
        <w:tc>
          <w:tcPr>
            <w:tcW w:w="2174" w:type="dxa"/>
            <w:hideMark/>
          </w:tcPr>
          <w:p w:rsidR="0030161C" w:rsidRPr="0030161C" w:rsidRDefault="0030161C" w:rsidP="0030161C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30161C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8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30161C" w:rsidRPr="0030161C" w:rsidRDefault="0030161C" w:rsidP="0030161C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0161C" w:rsidRPr="0030161C" w:rsidTr="00E446C3">
        <w:tc>
          <w:tcPr>
            <w:tcW w:w="2174" w:type="dxa"/>
            <w:hideMark/>
          </w:tcPr>
          <w:p w:rsidR="0030161C" w:rsidRPr="0030161C" w:rsidRDefault="0030161C" w:rsidP="0030161C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30161C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30161C" w:rsidRPr="0030161C" w:rsidRDefault="0030161C" w:rsidP="0030161C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30161C" w:rsidRPr="0030161C" w:rsidRDefault="0030161C" w:rsidP="0030161C">
      <w:pPr>
        <w:spacing w:before="360"/>
        <w:rPr>
          <w:rFonts w:ascii="Calibri" w:eastAsia="Calibri" w:hAnsi="Calibri" w:cs="Calibri"/>
          <w:b/>
        </w:rPr>
      </w:pPr>
      <w:r w:rsidRPr="0030161C">
        <w:rPr>
          <w:rFonts w:ascii="Calibri" w:eastAsia="Calibri" w:hAnsi="Calibri" w:cs="Calibri"/>
          <w:b/>
        </w:rPr>
        <w:t>Parametry techniczne oferowanego stanowiska pomiarowego: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2"/>
        <w:gridCol w:w="7074"/>
      </w:tblGrid>
      <w:tr w:rsidR="0030161C" w:rsidRPr="0030161C" w:rsidTr="00E446C3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161C" w:rsidRPr="0030161C" w:rsidRDefault="0030161C" w:rsidP="0030161C">
            <w:pPr>
              <w:rPr>
                <w:rFonts w:cs="Calibri"/>
              </w:rPr>
            </w:pPr>
            <w:r w:rsidRPr="0030161C">
              <w:rPr>
                <w:rFonts w:cs="Calibri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61C" w:rsidRPr="0030161C" w:rsidRDefault="0030161C" w:rsidP="0030161C">
            <w:pPr>
              <w:rPr>
                <w:rFonts w:cs="Calibri"/>
                <w:i/>
              </w:rPr>
            </w:pPr>
          </w:p>
        </w:tc>
      </w:tr>
      <w:tr w:rsidR="0030161C" w:rsidRPr="0030161C" w:rsidTr="00E446C3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161C" w:rsidRPr="0030161C" w:rsidRDefault="0030161C" w:rsidP="0030161C">
            <w:pPr>
              <w:rPr>
                <w:rFonts w:cs="Calibri"/>
              </w:rPr>
            </w:pPr>
            <w:r w:rsidRPr="0030161C">
              <w:rPr>
                <w:rFonts w:cs="Calibri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61C" w:rsidRPr="0030161C" w:rsidRDefault="0030161C" w:rsidP="0030161C">
            <w:pPr>
              <w:rPr>
                <w:rFonts w:cs="Calibri"/>
                <w:i/>
              </w:rPr>
            </w:pPr>
          </w:p>
        </w:tc>
      </w:tr>
      <w:tr w:rsidR="0030161C" w:rsidRPr="0030161C" w:rsidTr="00E446C3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161C" w:rsidRPr="0030161C" w:rsidRDefault="0030161C" w:rsidP="0030161C">
            <w:pPr>
              <w:rPr>
                <w:rFonts w:cs="Calibri"/>
              </w:rPr>
            </w:pPr>
            <w:r w:rsidRPr="0030161C">
              <w:rPr>
                <w:rFonts w:cs="Calibri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61C" w:rsidRPr="0030161C" w:rsidRDefault="0030161C" w:rsidP="0030161C">
            <w:pPr>
              <w:rPr>
                <w:rFonts w:cs="Calibri"/>
                <w:i/>
              </w:rPr>
            </w:pPr>
          </w:p>
        </w:tc>
      </w:tr>
    </w:tbl>
    <w:p w:rsidR="0030161C" w:rsidRPr="0030161C" w:rsidRDefault="0030161C" w:rsidP="0030161C">
      <w:pPr>
        <w:rPr>
          <w:rFonts w:ascii="Calibri" w:eastAsia="Calibri" w:hAnsi="Calibri" w:cs="Calibri"/>
        </w:rPr>
      </w:pP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5"/>
        <w:gridCol w:w="8"/>
        <w:gridCol w:w="3336"/>
        <w:gridCol w:w="3023"/>
      </w:tblGrid>
      <w:tr w:rsidR="0030161C" w:rsidRPr="0030161C" w:rsidTr="00E446C3">
        <w:trPr>
          <w:cantSplit/>
          <w:tblHeader/>
        </w:trPr>
        <w:tc>
          <w:tcPr>
            <w:tcW w:w="2693" w:type="dxa"/>
            <w:gridSpan w:val="2"/>
            <w:shd w:val="clear" w:color="auto" w:fill="92D050"/>
            <w:vAlign w:val="center"/>
            <w:hideMark/>
          </w:tcPr>
          <w:p w:rsidR="0030161C" w:rsidRPr="0030161C" w:rsidRDefault="0030161C" w:rsidP="0030161C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Nazwa parametru</w:t>
            </w:r>
          </w:p>
        </w:tc>
        <w:tc>
          <w:tcPr>
            <w:tcW w:w="3336" w:type="dxa"/>
            <w:shd w:val="clear" w:color="auto" w:fill="92D050"/>
            <w:vAlign w:val="center"/>
            <w:hideMark/>
          </w:tcPr>
          <w:p w:rsidR="0030161C" w:rsidRPr="0030161C" w:rsidRDefault="0030161C" w:rsidP="0030161C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wymagana</w:t>
            </w:r>
          </w:p>
        </w:tc>
        <w:tc>
          <w:tcPr>
            <w:tcW w:w="3181" w:type="dxa"/>
            <w:shd w:val="clear" w:color="auto" w:fill="92D050"/>
          </w:tcPr>
          <w:p w:rsidR="0030161C" w:rsidRPr="0030161C" w:rsidRDefault="0030161C" w:rsidP="0030161C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oferowana</w:t>
            </w:r>
          </w:p>
        </w:tc>
      </w:tr>
      <w:tr w:rsidR="0030161C" w:rsidRPr="0030161C" w:rsidTr="0030161C">
        <w:trPr>
          <w:trHeight w:val="367"/>
        </w:trPr>
        <w:tc>
          <w:tcPr>
            <w:tcW w:w="9210" w:type="dxa"/>
            <w:gridSpan w:val="4"/>
            <w:shd w:val="clear" w:color="auto" w:fill="95B3D7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Analizator harmonicznych oraz flikerów</w:t>
            </w:r>
          </w:p>
        </w:tc>
      </w:tr>
      <w:tr w:rsidR="0030161C" w:rsidRPr="0030161C" w:rsidTr="0030161C">
        <w:trPr>
          <w:trHeight w:val="374"/>
        </w:trPr>
        <w:tc>
          <w:tcPr>
            <w:tcW w:w="9210" w:type="dxa"/>
            <w:gridSpan w:val="4"/>
            <w:shd w:val="clear" w:color="auto" w:fill="D9D9D9"/>
            <w:vAlign w:val="center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Wymagania ogólne:</w:t>
            </w:r>
          </w:p>
        </w:tc>
      </w:tr>
      <w:tr w:rsidR="0030161C" w:rsidRPr="0030161C" w:rsidTr="00E446C3">
        <w:trPr>
          <w:trHeight w:val="576"/>
        </w:trPr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Wyświetlacz: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Kolorowy LED; Minimum 7", umożliwiający obsługę urządzenia z panelu dotykowego bez oprogramowania.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288"/>
        </w:trPr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Interfejs: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Ethernet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30161C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footnoteReference w:id="1"/>
            </w:r>
          </w:p>
        </w:tc>
      </w:tr>
      <w:tr w:rsidR="0030161C" w:rsidRPr="0030161C" w:rsidTr="00E446C3">
        <w:trPr>
          <w:trHeight w:val="288"/>
        </w:trPr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Zasilanie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230V (±10%) 50Hz…60Hz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288"/>
        </w:trPr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Wymiary 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Max. wysokość  urządzenia 4U.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288"/>
        </w:trPr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Waga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Max. 25 kg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30161C">
        <w:trPr>
          <w:trHeight w:val="392"/>
        </w:trPr>
        <w:tc>
          <w:tcPr>
            <w:tcW w:w="9210" w:type="dxa"/>
            <w:gridSpan w:val="4"/>
            <w:shd w:val="clear" w:color="auto" w:fill="D9D9D9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Parametry techniczne analizatora harmonicznych :</w:t>
            </w:r>
          </w:p>
        </w:tc>
      </w:tr>
      <w:tr w:rsidR="0030161C" w:rsidRPr="0030161C" w:rsidTr="00E446C3">
        <w:trPr>
          <w:trHeight w:val="288"/>
        </w:trPr>
        <w:tc>
          <w:tcPr>
            <w:tcW w:w="2693" w:type="dxa"/>
            <w:gridSpan w:val="2"/>
            <w:vMerge w:val="restart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Zgodny z następującymi normami: 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IEC 61000-4-7 (2009) Ed. 2.1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30161C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1</w:t>
            </w:r>
          </w:p>
        </w:tc>
      </w:tr>
      <w:tr w:rsidR="0030161C" w:rsidRPr="0030161C" w:rsidTr="00E446C3">
        <w:trPr>
          <w:trHeight w:val="288"/>
        </w:trPr>
        <w:tc>
          <w:tcPr>
            <w:tcW w:w="2693" w:type="dxa"/>
            <w:gridSpan w:val="2"/>
            <w:vMerge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IEC 61000-3-2 (2018) Ed. 5.0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30161C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1</w:t>
            </w:r>
          </w:p>
        </w:tc>
      </w:tr>
      <w:tr w:rsidR="0030161C" w:rsidRPr="0030161C" w:rsidTr="00E446C3">
        <w:trPr>
          <w:trHeight w:val="288"/>
        </w:trPr>
        <w:tc>
          <w:tcPr>
            <w:tcW w:w="2693" w:type="dxa"/>
            <w:gridSpan w:val="2"/>
            <w:vMerge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IEC 61000-3-12 (2011) Ed. 2.0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30161C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1</w:t>
            </w:r>
          </w:p>
        </w:tc>
      </w:tr>
      <w:tr w:rsidR="0030161C" w:rsidRPr="0030161C" w:rsidTr="00E446C3">
        <w:trPr>
          <w:trHeight w:val="288"/>
        </w:trPr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Zakres częstotliwości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Min. 46Hz … 64Hz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576"/>
        </w:trPr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Pomiar niepewności zakresów pomiaru prądu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± 0,5% wartości ± 0,04% ustawionego zakresu prądu znamionowego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863"/>
        </w:trPr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Uzyskiwane parametry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Wartości napięcia, prądu, mocy i częstotliwości (uzyskane w ciągu 100 ms): Urms, U</w:t>
            </w: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bscript"/>
                <w:lang w:eastAsia="pl-PL"/>
              </w:rPr>
              <w:t>AC</w:t>
            </w: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U</w:t>
            </w: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bscript"/>
                <w:lang w:eastAsia="pl-PL"/>
              </w:rPr>
              <w:t>DC</w:t>
            </w: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Umin, Umax, Irms, I</w:t>
            </w: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bscript"/>
                <w:lang w:eastAsia="pl-PL"/>
              </w:rPr>
              <w:t>AC</w:t>
            </w: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I</w:t>
            </w: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bscript"/>
                <w:lang w:eastAsia="pl-PL"/>
              </w:rPr>
              <w:t>DC</w:t>
            </w: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Imin, Imax, P, S, Q, PF, f</w:t>
            </w: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bscript"/>
                <w:lang w:eastAsia="pl-PL"/>
              </w:rPr>
              <w:t>U</w:t>
            </w: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f</w:t>
            </w: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bscript"/>
                <w:lang w:eastAsia="pl-PL"/>
              </w:rPr>
              <w:t>I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30161C">
        <w:trPr>
          <w:trHeight w:val="408"/>
        </w:trPr>
        <w:tc>
          <w:tcPr>
            <w:tcW w:w="9210" w:type="dxa"/>
            <w:gridSpan w:val="4"/>
            <w:shd w:val="clear" w:color="auto" w:fill="D9D9D9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Parametry techniczne miernika flikerów:</w:t>
            </w:r>
          </w:p>
        </w:tc>
      </w:tr>
      <w:tr w:rsidR="0030161C" w:rsidRPr="0030161C" w:rsidTr="00E446C3">
        <w:trPr>
          <w:trHeight w:val="288"/>
        </w:trPr>
        <w:tc>
          <w:tcPr>
            <w:tcW w:w="2693" w:type="dxa"/>
            <w:gridSpan w:val="2"/>
            <w:vMerge w:val="restart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Zgodny z następującymi normami: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IEC 61000-4-15 (2010) Ed. 2.0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30161C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1</w:t>
            </w:r>
          </w:p>
        </w:tc>
      </w:tr>
      <w:tr w:rsidR="0030161C" w:rsidRPr="0030161C" w:rsidTr="00E446C3">
        <w:trPr>
          <w:trHeight w:val="288"/>
        </w:trPr>
        <w:tc>
          <w:tcPr>
            <w:tcW w:w="2693" w:type="dxa"/>
            <w:gridSpan w:val="2"/>
            <w:vMerge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IEC 61000-3-3 (2017) Ed. 3.1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30161C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1</w:t>
            </w:r>
          </w:p>
        </w:tc>
      </w:tr>
      <w:tr w:rsidR="0030161C" w:rsidRPr="0030161C" w:rsidTr="00E446C3">
        <w:trPr>
          <w:trHeight w:val="288"/>
        </w:trPr>
        <w:tc>
          <w:tcPr>
            <w:tcW w:w="2693" w:type="dxa"/>
            <w:gridSpan w:val="2"/>
            <w:vMerge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IEC 61000-3-11 (2017) Ed. 2.0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30161C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1</w:t>
            </w:r>
          </w:p>
        </w:tc>
      </w:tr>
      <w:tr w:rsidR="0030161C" w:rsidRPr="0030161C" w:rsidTr="00E446C3">
        <w:trPr>
          <w:trHeight w:val="288"/>
        </w:trPr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Zakres napięcia :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Min. 1000Vpeak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288"/>
        </w:trPr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Impedancja wejściowa :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&gt; 1 MΩ 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cantSplit/>
          <w:trHeight w:val="288"/>
        </w:trPr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Wartości pomiaru migotania: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Pinst, max, Pst, Plt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310"/>
        </w:trPr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Dokładność: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Zgodnie z IEC 61000-4-15, Miernik flikerów  klasa F1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288"/>
        </w:trPr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Możliwość ustawiania czasu trwania pomiaru: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 1s do 24H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30161C">
        <w:trPr>
          <w:trHeight w:val="338"/>
        </w:trPr>
        <w:tc>
          <w:tcPr>
            <w:tcW w:w="9210" w:type="dxa"/>
            <w:gridSpan w:val="4"/>
            <w:shd w:val="clear" w:color="auto" w:fill="95B3D7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Źródło mocy:</w:t>
            </w:r>
          </w:p>
        </w:tc>
      </w:tr>
      <w:tr w:rsidR="0030161C" w:rsidRPr="0030161C" w:rsidTr="0030161C">
        <w:trPr>
          <w:trHeight w:val="386"/>
        </w:trPr>
        <w:tc>
          <w:tcPr>
            <w:tcW w:w="9210" w:type="dxa"/>
            <w:gridSpan w:val="4"/>
            <w:shd w:val="clear" w:color="auto" w:fill="D9D9D9"/>
            <w:vAlign w:val="center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Wymagania ogólne:</w:t>
            </w:r>
          </w:p>
        </w:tc>
      </w:tr>
      <w:tr w:rsidR="0030161C" w:rsidRPr="0030161C" w:rsidTr="00E446C3">
        <w:trPr>
          <w:trHeight w:val="576"/>
        </w:trPr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Wyświetlacz: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Kolorowy LED; Minimum 7", umożliwiający obsługę urządzenia z panelu dotykowego bez oprogramowania.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288"/>
        </w:trPr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Interfejs: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Ethernet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30161C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footnoteReference w:id="2"/>
            </w:r>
          </w:p>
        </w:tc>
      </w:tr>
      <w:tr w:rsidR="0030161C" w:rsidRPr="0030161C" w:rsidTr="00E446C3">
        <w:trPr>
          <w:trHeight w:val="288"/>
        </w:trPr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Zasilanie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230V (±10%) 50Hz … 60Hz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288"/>
        </w:trPr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Wymiary 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Max. wysokość 4U.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288"/>
        </w:trPr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Waga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Max. 50 kg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30161C">
        <w:trPr>
          <w:trHeight w:val="392"/>
        </w:trPr>
        <w:tc>
          <w:tcPr>
            <w:tcW w:w="9210" w:type="dxa"/>
            <w:gridSpan w:val="4"/>
            <w:shd w:val="clear" w:color="auto" w:fill="D9D9D9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Parametry techniczne źródła mocy:</w:t>
            </w:r>
          </w:p>
        </w:tc>
      </w:tr>
      <w:tr w:rsidR="0030161C" w:rsidRPr="0030161C" w:rsidTr="00E446C3">
        <w:trPr>
          <w:trHeight w:val="288"/>
        </w:trPr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Moc wyjściowa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Min. 1000VA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288"/>
        </w:trPr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Moc wyjściowa chwilowa do 2 minut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Min. 2000VA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557"/>
        </w:trPr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Stabilność (1h)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Wzmocnienie: &lt;0,1% / przesunięcie: &lt;0,02% wartości zakresu przy stałym obciążeniu i temperaturze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277"/>
        </w:trPr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Prędkość narastania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&lt;5μs at 230Vrms zgodnie z  IEC/EN 61000-4-11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288"/>
        </w:trPr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Prędkość opadania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&gt;50V/μs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542"/>
        </w:trPr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Zniekształcenia harmoniczne (maks.)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THD źródła:  dla 240 Vrms  ≤ 0,2% (DC ... 450Hz); ≤ 0,3% (450Hz... 5kHz);  ≤ 5% (5kHz…10kHz); 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471"/>
        </w:trPr>
        <w:tc>
          <w:tcPr>
            <w:tcW w:w="2693" w:type="dxa"/>
            <w:gridSpan w:val="2"/>
            <w:shd w:val="clear" w:color="auto" w:fill="auto"/>
            <w:noWrap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val="de-DE" w:eastAsia="pl-PL"/>
              </w:rPr>
              <w:t>Wewnętrzny pomiar napięcia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Dokładność pomiaru napięcia: ≤ ± (0,1 + 0,02)% (45 Hz ... 450 Hz)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366"/>
        </w:trPr>
        <w:tc>
          <w:tcPr>
            <w:tcW w:w="2693" w:type="dxa"/>
            <w:gridSpan w:val="2"/>
            <w:shd w:val="clear" w:color="auto" w:fill="auto"/>
            <w:noWrap/>
            <w:vAlign w:val="center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val="de-DE" w:eastAsia="pl-PL"/>
              </w:rPr>
              <w:t xml:space="preserve">Wewnętrzny pomiar prądu 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Dokładności pomiaru prądu: ≤ ± (0,2 + 0,04)% (45 Hz ... 450 Hz)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288"/>
        </w:trPr>
        <w:tc>
          <w:tcPr>
            <w:tcW w:w="6029" w:type="dxa"/>
            <w:gridSpan w:val="3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Symulacja dowolnych przebiegów sygnałów (1-fazowych) poprzez wewnętrzne generowanie sygnału </w:t>
            </w:r>
          </w:p>
        </w:tc>
        <w:tc>
          <w:tcPr>
            <w:tcW w:w="3181" w:type="dxa"/>
            <w:vAlign w:val="center"/>
          </w:tcPr>
          <w:p w:rsidR="0030161C" w:rsidRPr="0030161C" w:rsidRDefault="0030161C" w:rsidP="0030161C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30161C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30161C" w:rsidRPr="0030161C" w:rsidTr="00E446C3">
        <w:trPr>
          <w:trHeight w:val="288"/>
        </w:trPr>
        <w:tc>
          <w:tcPr>
            <w:tcW w:w="6029" w:type="dxa"/>
            <w:gridSpan w:val="3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Symulacja dowolnych harmonicznych oraz modulacja AM, FM, PM i PWM</w:t>
            </w:r>
          </w:p>
        </w:tc>
        <w:tc>
          <w:tcPr>
            <w:tcW w:w="3181" w:type="dxa"/>
            <w:vAlign w:val="center"/>
          </w:tcPr>
          <w:p w:rsidR="0030161C" w:rsidRPr="0030161C" w:rsidRDefault="0030161C" w:rsidP="0030161C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30161C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30161C" w:rsidRPr="0030161C" w:rsidTr="00E446C3">
        <w:trPr>
          <w:trHeight w:val="288"/>
        </w:trPr>
        <w:tc>
          <w:tcPr>
            <w:tcW w:w="6029" w:type="dxa"/>
            <w:gridSpan w:val="3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Zdalny dostęp za pomocą sieci Ethernet w celu zdalnego sterowania / zdalnej konserwacji</w:t>
            </w:r>
          </w:p>
        </w:tc>
        <w:tc>
          <w:tcPr>
            <w:tcW w:w="3181" w:type="dxa"/>
            <w:vAlign w:val="center"/>
          </w:tcPr>
          <w:p w:rsidR="0030161C" w:rsidRPr="0030161C" w:rsidRDefault="0030161C" w:rsidP="0030161C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30161C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30161C" w:rsidRPr="0030161C" w:rsidTr="00E446C3">
        <w:trPr>
          <w:trHeight w:val="288"/>
        </w:trPr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Wejścia cyfrowe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Min. 8 wejść cyfrowych: +5VDC … +24VDC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572"/>
        </w:trPr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Wyjścia cyfrowe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Min. 8 wyjść cyfrowych: +5VDC (wewn. VCC), IL=40mA (zewn.  VCC input: +5VDC … +24VDC, IL=500mA)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30161C">
        <w:trPr>
          <w:trHeight w:val="659"/>
        </w:trPr>
        <w:tc>
          <w:tcPr>
            <w:tcW w:w="9210" w:type="dxa"/>
            <w:gridSpan w:val="4"/>
            <w:shd w:val="clear" w:color="auto" w:fill="D9D9D9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lastRenderedPageBreak/>
              <w:t>Parametry dotyczące zabudowy systemu do pomiaru harmonicznych oraz flikerów:</w:t>
            </w:r>
          </w:p>
        </w:tc>
      </w:tr>
      <w:tr w:rsidR="0030161C" w:rsidRPr="0030161C" w:rsidTr="00E446C3">
        <w:trPr>
          <w:trHeight w:val="300"/>
        </w:trPr>
        <w:tc>
          <w:tcPr>
            <w:tcW w:w="2693" w:type="dxa"/>
            <w:gridSpan w:val="2"/>
            <w:shd w:val="clear" w:color="auto" w:fill="auto"/>
            <w:noWrap/>
            <w:vAlign w:val="center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Konstrukcja: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Szafa typu Rack 19”, konstrukcja obudowy oparta na samonośnym profilu montażowym 482,6 mm (19"),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300"/>
        </w:trPr>
        <w:tc>
          <w:tcPr>
            <w:tcW w:w="2693" w:type="dxa"/>
            <w:gridSpan w:val="2"/>
            <w:shd w:val="clear" w:color="auto" w:fill="auto"/>
            <w:noWrap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Szerokość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600 mm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300"/>
        </w:trPr>
        <w:tc>
          <w:tcPr>
            <w:tcW w:w="2693" w:type="dxa"/>
            <w:gridSpan w:val="2"/>
            <w:shd w:val="clear" w:color="auto" w:fill="auto"/>
            <w:noWrap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Głębokość: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Min. 800 mm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300"/>
        </w:trPr>
        <w:tc>
          <w:tcPr>
            <w:tcW w:w="2693" w:type="dxa"/>
            <w:gridSpan w:val="2"/>
            <w:shd w:val="clear" w:color="auto" w:fill="auto"/>
            <w:noWrap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Wysokość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Max. 1330 mm z kołami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300"/>
        </w:trPr>
        <w:tc>
          <w:tcPr>
            <w:tcW w:w="2693" w:type="dxa"/>
            <w:gridSpan w:val="2"/>
            <w:shd w:val="clear" w:color="auto" w:fill="auto"/>
            <w:noWrap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Kolor:</w:t>
            </w:r>
          </w:p>
        </w:tc>
        <w:tc>
          <w:tcPr>
            <w:tcW w:w="3336" w:type="dxa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RAL 7035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352"/>
        </w:trPr>
        <w:tc>
          <w:tcPr>
            <w:tcW w:w="6029" w:type="dxa"/>
            <w:gridSpan w:val="3"/>
            <w:shd w:val="clear" w:color="auto" w:fill="auto"/>
            <w:noWrap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Szafa powinna być wyposażona w kółka transportowe o obciąż. nie mniejszej niż 300kg</w:t>
            </w:r>
          </w:p>
        </w:tc>
        <w:tc>
          <w:tcPr>
            <w:tcW w:w="3181" w:type="dxa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404"/>
        </w:trPr>
        <w:tc>
          <w:tcPr>
            <w:tcW w:w="6029" w:type="dxa"/>
            <w:gridSpan w:val="3"/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Szafa wyposażona w panel  zawierający przyłącza EUT oraz wyłącznik bezpieczeństwa</w:t>
            </w:r>
          </w:p>
        </w:tc>
        <w:tc>
          <w:tcPr>
            <w:tcW w:w="3181" w:type="dxa"/>
            <w:vAlign w:val="center"/>
          </w:tcPr>
          <w:p w:rsidR="0030161C" w:rsidRPr="0030161C" w:rsidRDefault="0030161C" w:rsidP="0030161C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30161C">
              <w:rPr>
                <w:rFonts w:ascii="Calibri" w:eastAsia="Times New Roman" w:hAnsi="Calibri" w:cs="Calibri"/>
                <w:vertAlign w:val="superscript"/>
                <w:lang w:eastAsia="pl-PL"/>
              </w:rPr>
              <w:footnoteReference w:id="3"/>
            </w:r>
          </w:p>
        </w:tc>
      </w:tr>
      <w:tr w:rsidR="0030161C" w:rsidRPr="0030161C" w:rsidTr="0030161C">
        <w:trPr>
          <w:trHeight w:val="402"/>
        </w:trPr>
        <w:tc>
          <w:tcPr>
            <w:tcW w:w="9210" w:type="dxa"/>
            <w:gridSpan w:val="4"/>
            <w:shd w:val="clear" w:color="auto" w:fill="95B3D7"/>
            <w:vAlign w:val="center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Parametry kontrolera systemu pomiarowego:</w:t>
            </w:r>
          </w:p>
        </w:tc>
      </w:tr>
      <w:tr w:rsidR="0030161C" w:rsidRPr="0030161C" w:rsidTr="00E446C3">
        <w:trPr>
          <w:trHeight w:val="360"/>
        </w:trPr>
        <w:tc>
          <w:tcPr>
            <w:tcW w:w="6029" w:type="dxa"/>
            <w:gridSpan w:val="3"/>
            <w:shd w:val="clear" w:color="auto" w:fill="auto"/>
            <w:vAlign w:val="center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lang w:eastAsia="pl-PL"/>
              </w:rPr>
              <w:t>Umożliwiający integrację wszystkich elementów systemu</w:t>
            </w:r>
          </w:p>
        </w:tc>
        <w:tc>
          <w:tcPr>
            <w:tcW w:w="3181" w:type="dxa"/>
            <w:vAlign w:val="center"/>
          </w:tcPr>
          <w:p w:rsidR="0030161C" w:rsidRPr="0030161C" w:rsidRDefault="0030161C" w:rsidP="0030161C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30161C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3</w:t>
            </w:r>
          </w:p>
        </w:tc>
      </w:tr>
      <w:tr w:rsidR="0030161C" w:rsidRPr="0030161C" w:rsidTr="00E446C3">
        <w:trPr>
          <w:trHeight w:val="288"/>
        </w:trPr>
        <w:tc>
          <w:tcPr>
            <w:tcW w:w="2693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Wyświetlacz:</w:t>
            </w:r>
          </w:p>
        </w:tc>
        <w:tc>
          <w:tcPr>
            <w:tcW w:w="3336" w:type="dxa"/>
            <w:shd w:val="clear" w:color="000000" w:fill="FFFFFF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Wielkość – w zakresie 15,0” – 16,0”,</w:t>
            </w:r>
          </w:p>
        </w:tc>
        <w:tc>
          <w:tcPr>
            <w:tcW w:w="3181" w:type="dxa"/>
            <w:shd w:val="clear" w:color="000000" w:fill="FFFFFF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295"/>
        </w:trPr>
        <w:tc>
          <w:tcPr>
            <w:tcW w:w="2693" w:type="dxa"/>
            <w:gridSpan w:val="2"/>
            <w:vMerge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36" w:type="dxa"/>
            <w:shd w:val="clear" w:color="000000" w:fill="FFFFFF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Rozdzielczość nominalna – min. 1920 na min. 1080 pikseli;</w:t>
            </w:r>
          </w:p>
        </w:tc>
        <w:tc>
          <w:tcPr>
            <w:tcW w:w="3181" w:type="dxa"/>
            <w:shd w:val="clear" w:color="000000" w:fill="FFFFFF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288"/>
        </w:trPr>
        <w:tc>
          <w:tcPr>
            <w:tcW w:w="2693" w:type="dxa"/>
            <w:gridSpan w:val="2"/>
            <w:vMerge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36" w:type="dxa"/>
            <w:shd w:val="clear" w:color="000000" w:fill="FFFFFF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Matowy</w:t>
            </w:r>
          </w:p>
        </w:tc>
        <w:tc>
          <w:tcPr>
            <w:tcW w:w="3181" w:type="dxa"/>
            <w:shd w:val="clear" w:color="000000" w:fill="FFFFFF"/>
          </w:tcPr>
          <w:p w:rsidR="0030161C" w:rsidRPr="0030161C" w:rsidRDefault="0030161C" w:rsidP="0030161C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30161C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3</w:t>
            </w:r>
          </w:p>
        </w:tc>
      </w:tr>
      <w:tr w:rsidR="0030161C" w:rsidRPr="0030161C" w:rsidTr="00E446C3">
        <w:trPr>
          <w:trHeight w:val="288"/>
        </w:trPr>
        <w:tc>
          <w:tcPr>
            <w:tcW w:w="2693" w:type="dxa"/>
            <w:gridSpan w:val="2"/>
            <w:vMerge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36" w:type="dxa"/>
            <w:shd w:val="clear" w:color="000000" w:fill="FFFFFF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Jasność min. 250 cd/m2,</w:t>
            </w:r>
          </w:p>
        </w:tc>
        <w:tc>
          <w:tcPr>
            <w:tcW w:w="3181" w:type="dxa"/>
            <w:shd w:val="clear" w:color="000000" w:fill="FFFFFF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468"/>
        </w:trPr>
        <w:tc>
          <w:tcPr>
            <w:tcW w:w="2693" w:type="dxa"/>
            <w:gridSpan w:val="2"/>
            <w:vMerge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36" w:type="dxa"/>
            <w:shd w:val="clear" w:color="000000" w:fill="FFFFFF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Obsługa ekranu zewnętrznego o rozdzielczości min. 1920 na min. 1080 pikseli</w:t>
            </w:r>
          </w:p>
        </w:tc>
        <w:tc>
          <w:tcPr>
            <w:tcW w:w="3181" w:type="dxa"/>
            <w:shd w:val="clear" w:color="000000" w:fill="FFFFFF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288"/>
        </w:trPr>
        <w:tc>
          <w:tcPr>
            <w:tcW w:w="2693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Pamięć operacyjna:</w:t>
            </w:r>
          </w:p>
        </w:tc>
        <w:tc>
          <w:tcPr>
            <w:tcW w:w="3336" w:type="dxa"/>
            <w:shd w:val="clear" w:color="000000" w:fill="FFFFFF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Minimum 16 GB RAM DDR4,</w:t>
            </w:r>
          </w:p>
        </w:tc>
        <w:tc>
          <w:tcPr>
            <w:tcW w:w="3181" w:type="dxa"/>
            <w:shd w:val="clear" w:color="000000" w:fill="FFFFFF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300"/>
        </w:trPr>
        <w:tc>
          <w:tcPr>
            <w:tcW w:w="2693" w:type="dxa"/>
            <w:gridSpan w:val="2"/>
            <w:vMerge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36" w:type="dxa"/>
            <w:shd w:val="clear" w:color="000000" w:fill="FFFFFF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Możliwość rozbudowy do 32 GB</w:t>
            </w:r>
          </w:p>
        </w:tc>
        <w:tc>
          <w:tcPr>
            <w:tcW w:w="3181" w:type="dxa"/>
            <w:shd w:val="clear" w:color="000000" w:fill="FFFFFF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363"/>
        </w:trPr>
        <w:tc>
          <w:tcPr>
            <w:tcW w:w="2693" w:type="dxa"/>
            <w:gridSpan w:val="2"/>
            <w:shd w:val="clear" w:color="000000" w:fill="FFFFFF"/>
            <w:noWrap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Dysk Twardy:</w:t>
            </w:r>
          </w:p>
        </w:tc>
        <w:tc>
          <w:tcPr>
            <w:tcW w:w="3336" w:type="dxa"/>
            <w:shd w:val="clear" w:color="000000" w:fill="FFFFFF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Min. 250 GB SSD</w:t>
            </w:r>
          </w:p>
        </w:tc>
        <w:tc>
          <w:tcPr>
            <w:tcW w:w="3181" w:type="dxa"/>
            <w:shd w:val="clear" w:color="000000" w:fill="FFFFFF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591"/>
        </w:trPr>
        <w:tc>
          <w:tcPr>
            <w:tcW w:w="2693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Zasilanie:</w:t>
            </w:r>
          </w:p>
        </w:tc>
        <w:tc>
          <w:tcPr>
            <w:tcW w:w="3336" w:type="dxa"/>
            <w:shd w:val="clear" w:color="000000" w:fill="FFFFFF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Akumulatorowe (Li-Ion i/lub Li-Po) o pojemności minimum 7500 mAH, pozwalające na min. 8 godz. pracy na urządzeniu,</w:t>
            </w:r>
          </w:p>
        </w:tc>
        <w:tc>
          <w:tcPr>
            <w:tcW w:w="3181" w:type="dxa"/>
            <w:shd w:val="clear" w:color="000000" w:fill="FFFFFF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334"/>
        </w:trPr>
        <w:tc>
          <w:tcPr>
            <w:tcW w:w="2693" w:type="dxa"/>
            <w:gridSpan w:val="2"/>
            <w:vMerge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36" w:type="dxa"/>
            <w:shd w:val="clear" w:color="000000" w:fill="FFFFFF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Zewnętrzny zasilacz 230V 50Hz o mocy min. 60W w zestawie</w:t>
            </w:r>
          </w:p>
        </w:tc>
        <w:tc>
          <w:tcPr>
            <w:tcW w:w="3181" w:type="dxa"/>
            <w:shd w:val="clear" w:color="000000" w:fill="FFFFFF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378"/>
        </w:trPr>
        <w:tc>
          <w:tcPr>
            <w:tcW w:w="2693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Poziom odporności:</w:t>
            </w:r>
          </w:p>
        </w:tc>
        <w:tc>
          <w:tcPr>
            <w:tcW w:w="3336" w:type="dxa"/>
            <w:shd w:val="clear" w:color="000000" w:fill="FFFFFF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Ochrona przed pyłem: IP5X,</w:t>
            </w:r>
          </w:p>
        </w:tc>
        <w:tc>
          <w:tcPr>
            <w:tcW w:w="3181" w:type="dxa"/>
            <w:shd w:val="clear" w:color="000000" w:fill="FFFFFF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382"/>
        </w:trPr>
        <w:tc>
          <w:tcPr>
            <w:tcW w:w="2693" w:type="dxa"/>
            <w:gridSpan w:val="2"/>
            <w:vMerge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36" w:type="dxa"/>
            <w:shd w:val="clear" w:color="000000" w:fill="FFFFFF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Odporność na upadek/wstrząsy/wibracje: MIL-STD-810G,</w:t>
            </w:r>
          </w:p>
        </w:tc>
        <w:tc>
          <w:tcPr>
            <w:tcW w:w="3181" w:type="dxa"/>
            <w:shd w:val="clear" w:color="000000" w:fill="FFFFFF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408"/>
        </w:trPr>
        <w:tc>
          <w:tcPr>
            <w:tcW w:w="2693" w:type="dxa"/>
            <w:gridSpan w:val="2"/>
            <w:vMerge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36" w:type="dxa"/>
            <w:shd w:val="clear" w:color="000000" w:fill="FFFFFF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Wzmocniona obudowa z rączką do przenoszenia,</w:t>
            </w:r>
          </w:p>
        </w:tc>
        <w:tc>
          <w:tcPr>
            <w:tcW w:w="3181" w:type="dxa"/>
            <w:shd w:val="clear" w:color="000000" w:fill="FFFFFF"/>
            <w:vAlign w:val="center"/>
          </w:tcPr>
          <w:p w:rsidR="0030161C" w:rsidRPr="0030161C" w:rsidRDefault="0030161C" w:rsidP="0030161C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30161C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3</w:t>
            </w:r>
          </w:p>
        </w:tc>
      </w:tr>
      <w:tr w:rsidR="0030161C" w:rsidRPr="0030161C" w:rsidTr="00E446C3">
        <w:trPr>
          <w:trHeight w:val="400"/>
        </w:trPr>
        <w:tc>
          <w:tcPr>
            <w:tcW w:w="2693" w:type="dxa"/>
            <w:gridSpan w:val="2"/>
            <w:vMerge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36" w:type="dxa"/>
            <w:shd w:val="clear" w:color="000000" w:fill="FFFFFF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Klawiatura i touchpad odporne na zalania płynami,</w:t>
            </w:r>
          </w:p>
        </w:tc>
        <w:tc>
          <w:tcPr>
            <w:tcW w:w="3181" w:type="dxa"/>
            <w:shd w:val="clear" w:color="000000" w:fill="FFFFFF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406"/>
        </w:trPr>
        <w:tc>
          <w:tcPr>
            <w:tcW w:w="2693" w:type="dxa"/>
            <w:gridSpan w:val="2"/>
            <w:vMerge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36" w:type="dxa"/>
            <w:shd w:val="clear" w:color="000000" w:fill="FFFFFF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Porty we/wy chronione zamykanymi klapkami,</w:t>
            </w:r>
          </w:p>
        </w:tc>
        <w:tc>
          <w:tcPr>
            <w:tcW w:w="3181" w:type="dxa"/>
            <w:shd w:val="clear" w:color="000000" w:fill="FFFFFF"/>
            <w:vAlign w:val="center"/>
          </w:tcPr>
          <w:p w:rsidR="0030161C" w:rsidRPr="0030161C" w:rsidRDefault="0030161C" w:rsidP="0030161C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30161C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footnoteReference w:id="4"/>
            </w:r>
          </w:p>
        </w:tc>
      </w:tr>
      <w:tr w:rsidR="0030161C" w:rsidRPr="0030161C" w:rsidTr="00E446C3">
        <w:trPr>
          <w:trHeight w:val="412"/>
        </w:trPr>
        <w:tc>
          <w:tcPr>
            <w:tcW w:w="2693" w:type="dxa"/>
            <w:gridSpan w:val="2"/>
            <w:vMerge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36" w:type="dxa"/>
            <w:shd w:val="clear" w:color="000000" w:fill="FFFFFF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Temperatura pracy – zakres min. 0°C – 45°C</w:t>
            </w:r>
          </w:p>
        </w:tc>
        <w:tc>
          <w:tcPr>
            <w:tcW w:w="3181" w:type="dxa"/>
            <w:shd w:val="clear" w:color="000000" w:fill="FFFFFF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1295"/>
        </w:trPr>
        <w:tc>
          <w:tcPr>
            <w:tcW w:w="2693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System operacyjny:</w:t>
            </w:r>
          </w:p>
        </w:tc>
        <w:tc>
          <w:tcPr>
            <w:tcW w:w="3336" w:type="dxa"/>
            <w:shd w:val="clear" w:color="000000" w:fill="FFFFFF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Zainstalowany Microsoft Windows 10 Professional PL 64-bit z licencją. Nie dopuszcza się w tym zakresie licencji pochodzących z rynku wtórnego,</w:t>
            </w:r>
          </w:p>
        </w:tc>
        <w:tc>
          <w:tcPr>
            <w:tcW w:w="3181" w:type="dxa"/>
            <w:shd w:val="clear" w:color="000000" w:fill="FFFFFF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1140"/>
        </w:trPr>
        <w:tc>
          <w:tcPr>
            <w:tcW w:w="2693" w:type="dxa"/>
            <w:gridSpan w:val="2"/>
            <w:vMerge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36" w:type="dxa"/>
            <w:shd w:val="clear" w:color="000000" w:fill="FFFFFF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Umieszczony na obudowie Certyfikat Autentyczności w postaci specjalnej naklejki zabezpieczającej lub Załączone potwierdzenie wykonawcy / producenta komputera o legalności dostarczonego oprogramowania systemowego</w:t>
            </w:r>
          </w:p>
        </w:tc>
        <w:tc>
          <w:tcPr>
            <w:tcW w:w="3181" w:type="dxa"/>
            <w:shd w:val="clear" w:color="000000" w:fill="FFFFFF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524"/>
        </w:trPr>
        <w:tc>
          <w:tcPr>
            <w:tcW w:w="2693" w:type="dxa"/>
            <w:gridSpan w:val="2"/>
            <w:vMerge w:val="restart"/>
            <w:vAlign w:val="center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Dodatkowe oprogramowanie:</w:t>
            </w:r>
          </w:p>
        </w:tc>
        <w:tc>
          <w:tcPr>
            <w:tcW w:w="3336" w:type="dxa"/>
            <w:shd w:val="clear" w:color="000000" w:fill="FFFFFF"/>
            <w:vAlign w:val="center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Oprogramowanie do tworzenia i edycji m.in. tekstu, arkuszy kalkulacyjnych, niezbędne do edycji generowanych raportów z oprogramowania sterującego systemem.  </w:t>
            </w:r>
          </w:p>
        </w:tc>
        <w:tc>
          <w:tcPr>
            <w:tcW w:w="3181" w:type="dxa"/>
            <w:shd w:val="clear" w:color="000000" w:fill="FFFFFF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524"/>
        </w:trPr>
        <w:tc>
          <w:tcPr>
            <w:tcW w:w="2693" w:type="dxa"/>
            <w:gridSpan w:val="2"/>
            <w:vMerge/>
            <w:vAlign w:val="center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36" w:type="dxa"/>
            <w:shd w:val="clear" w:color="000000" w:fill="FFFFFF"/>
            <w:vAlign w:val="center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Zainstalowane oprogramowanie powinno posiadać licencję komercyjną, bezterminową. Nie dopuszcza się w tym zakresie licencji pochodzących z rynku wtórnego,</w:t>
            </w:r>
          </w:p>
        </w:tc>
        <w:tc>
          <w:tcPr>
            <w:tcW w:w="3181" w:type="dxa"/>
            <w:shd w:val="clear" w:color="000000" w:fill="FFFFFF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30161C">
        <w:trPr>
          <w:trHeight w:val="416"/>
        </w:trPr>
        <w:tc>
          <w:tcPr>
            <w:tcW w:w="6029" w:type="dxa"/>
            <w:gridSpan w:val="3"/>
            <w:shd w:val="clear" w:color="auto" w:fill="D9D9D9"/>
            <w:vAlign w:val="center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Oprogramowanie sterujące:</w:t>
            </w:r>
          </w:p>
        </w:tc>
        <w:tc>
          <w:tcPr>
            <w:tcW w:w="3181" w:type="dxa"/>
            <w:shd w:val="clear" w:color="auto" w:fill="D9D9D9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30161C" w:rsidRPr="0030161C" w:rsidTr="00E446C3">
        <w:trPr>
          <w:trHeight w:val="588"/>
        </w:trPr>
        <w:tc>
          <w:tcPr>
            <w:tcW w:w="2685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powinno umożliwiać sterowanie pracą całego zestawu, jak też każdego przyrządu osobno. </w:t>
            </w:r>
          </w:p>
        </w:tc>
        <w:tc>
          <w:tcPr>
            <w:tcW w:w="334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161C" w:rsidRPr="0030161C" w:rsidRDefault="0030161C" w:rsidP="0030161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81" w:type="dxa"/>
            <w:vAlign w:val="center"/>
          </w:tcPr>
          <w:p w:rsidR="0030161C" w:rsidRPr="0030161C" w:rsidRDefault="0030161C" w:rsidP="0030161C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30161C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4</w:t>
            </w:r>
          </w:p>
        </w:tc>
      </w:tr>
      <w:tr w:rsidR="0030161C" w:rsidRPr="0030161C" w:rsidTr="00E446C3">
        <w:tc>
          <w:tcPr>
            <w:tcW w:w="268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wraz z dostarczoną aparaturą powinno umożliwiać wykonanie testów zgodnie z następującymi normami (zwanymi dalej „Normami”): </w:t>
            </w:r>
          </w:p>
        </w:tc>
        <w:tc>
          <w:tcPr>
            <w:tcW w:w="334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pl-PL"/>
              </w:rPr>
              <w:t xml:space="preserve">PN-EN 61000-3-2:2000 + A2:2005; </w:t>
            </w: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pl-PL"/>
              </w:rPr>
              <w:br/>
              <w:t xml:space="preserve">PN-EN 61000-3-2:2006; </w:t>
            </w:r>
          </w:p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pl-PL"/>
              </w:rPr>
              <w:t xml:space="preserve">PN-EN 61000-3-2:2006 + A1:2009 + A2:2009; </w:t>
            </w:r>
          </w:p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pl-PL"/>
              </w:rPr>
              <w:t xml:space="preserve">PN-EN 61000-3-2:2014; </w:t>
            </w:r>
          </w:p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pl-PL"/>
              </w:rPr>
              <w:t xml:space="preserve">PN-EN 61000-3-2:2019; </w:t>
            </w:r>
          </w:p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pl-PL"/>
              </w:rPr>
              <w:t xml:space="preserve">PN-EN 61000-3-3:2008; </w:t>
            </w:r>
          </w:p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pl-PL"/>
              </w:rPr>
              <w:t xml:space="preserve">PN-EN 61000-3-3:2013; </w:t>
            </w:r>
          </w:p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pl-PL"/>
              </w:rPr>
              <w:t xml:space="preserve">PN-EN 61000-3-3:2013 + A1:2019; </w:t>
            </w:r>
          </w:p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pl-PL"/>
              </w:rPr>
              <w:t>PN-EN 61000-3-11:2000;</w:t>
            </w:r>
          </w:p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pl-PL"/>
              </w:rPr>
              <w:t xml:space="preserve">PN-EN 61000-3-11:2019; </w:t>
            </w:r>
          </w:p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pl-PL"/>
              </w:rPr>
              <w:t xml:space="preserve">PN-EN 61000-3-12:2005; </w:t>
            </w:r>
          </w:p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pl-PL"/>
              </w:rPr>
              <w:t>PN-EN 61000-3-12:2011.</w:t>
            </w:r>
          </w:p>
        </w:tc>
        <w:tc>
          <w:tcPr>
            <w:tcW w:w="3181" w:type="dxa"/>
            <w:vAlign w:val="center"/>
          </w:tcPr>
          <w:p w:rsidR="0030161C" w:rsidRPr="0030161C" w:rsidRDefault="0030161C" w:rsidP="0030161C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30161C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4</w:t>
            </w:r>
          </w:p>
        </w:tc>
      </w:tr>
      <w:tr w:rsidR="0030161C" w:rsidRPr="0030161C" w:rsidTr="00E446C3">
        <w:trPr>
          <w:trHeight w:val="378"/>
        </w:trPr>
        <w:tc>
          <w:tcPr>
            <w:tcW w:w="268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Oprogramowanie powinno posiadać predefiniowane limity zgodnie z Normami</w:t>
            </w:r>
          </w:p>
        </w:tc>
        <w:tc>
          <w:tcPr>
            <w:tcW w:w="334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161C" w:rsidRPr="0030161C" w:rsidRDefault="0030161C" w:rsidP="0030161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81" w:type="dxa"/>
            <w:vAlign w:val="center"/>
          </w:tcPr>
          <w:p w:rsidR="0030161C" w:rsidRPr="0030161C" w:rsidRDefault="0030161C" w:rsidP="0030161C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30161C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footnoteReference w:id="5"/>
            </w:r>
          </w:p>
        </w:tc>
      </w:tr>
      <w:tr w:rsidR="0030161C" w:rsidRPr="0030161C" w:rsidTr="00E446C3">
        <w:trPr>
          <w:trHeight w:val="421"/>
        </w:trPr>
        <w:tc>
          <w:tcPr>
            <w:tcW w:w="268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Oprogramowanie powinno umożliwiać ocenę zgodnie z Normami</w:t>
            </w:r>
          </w:p>
        </w:tc>
        <w:tc>
          <w:tcPr>
            <w:tcW w:w="334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161C" w:rsidRPr="0030161C" w:rsidRDefault="0030161C" w:rsidP="0030161C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81" w:type="dxa"/>
            <w:vAlign w:val="center"/>
          </w:tcPr>
          <w:p w:rsidR="0030161C" w:rsidRPr="0030161C" w:rsidRDefault="0030161C" w:rsidP="0030161C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30161C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5</w:t>
            </w:r>
          </w:p>
        </w:tc>
      </w:tr>
      <w:tr w:rsidR="0030161C" w:rsidRPr="0030161C" w:rsidTr="00E446C3">
        <w:trPr>
          <w:cantSplit/>
          <w:trHeight w:val="428"/>
        </w:trPr>
        <w:tc>
          <w:tcPr>
            <w:tcW w:w="268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Oprogramowanie powinno tabelarycznie oraz graficznie przedstawiać wartości mierzone</w:t>
            </w:r>
          </w:p>
        </w:tc>
        <w:tc>
          <w:tcPr>
            <w:tcW w:w="334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161C" w:rsidRPr="0030161C" w:rsidRDefault="0030161C" w:rsidP="0030161C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81" w:type="dxa"/>
            <w:vAlign w:val="center"/>
          </w:tcPr>
          <w:p w:rsidR="0030161C" w:rsidRPr="0030161C" w:rsidRDefault="0030161C" w:rsidP="003016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30161C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5</w:t>
            </w:r>
          </w:p>
        </w:tc>
      </w:tr>
      <w:tr w:rsidR="0030161C" w:rsidRPr="0030161C" w:rsidTr="00E446C3">
        <w:trPr>
          <w:trHeight w:val="401"/>
        </w:trPr>
        <w:tc>
          <w:tcPr>
            <w:tcW w:w="268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Oprogramowanie powinno mieć możliwość obliczenia dalszych wartości na podstawie zmierzonych wartości</w:t>
            </w:r>
          </w:p>
        </w:tc>
        <w:tc>
          <w:tcPr>
            <w:tcW w:w="334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161C" w:rsidRPr="0030161C" w:rsidRDefault="0030161C" w:rsidP="0030161C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81" w:type="dxa"/>
            <w:vAlign w:val="center"/>
          </w:tcPr>
          <w:p w:rsidR="0030161C" w:rsidRPr="0030161C" w:rsidRDefault="0030161C" w:rsidP="003016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30161C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5</w:t>
            </w:r>
          </w:p>
        </w:tc>
      </w:tr>
      <w:tr w:rsidR="0030161C" w:rsidRPr="0030161C" w:rsidTr="00E446C3">
        <w:trPr>
          <w:trHeight w:val="683"/>
        </w:trPr>
        <w:tc>
          <w:tcPr>
            <w:tcW w:w="268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1C" w:rsidRPr="0030161C" w:rsidRDefault="0030161C" w:rsidP="0030161C">
            <w:pPr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Oprogramowanie powinno posiadać możliwość generowania raportów w formie graficznej oraz tabelarycznej. Wygenerowane raporty powinny posiadać możliwość ich edycji.</w:t>
            </w:r>
          </w:p>
        </w:tc>
        <w:tc>
          <w:tcPr>
            <w:tcW w:w="334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161C" w:rsidRPr="0030161C" w:rsidRDefault="0030161C" w:rsidP="0030161C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81" w:type="dxa"/>
            <w:vAlign w:val="center"/>
          </w:tcPr>
          <w:p w:rsidR="0030161C" w:rsidRPr="0030161C" w:rsidRDefault="0030161C" w:rsidP="003016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161C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30161C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5</w:t>
            </w:r>
          </w:p>
        </w:tc>
      </w:tr>
    </w:tbl>
    <w:p w:rsidR="0030161C" w:rsidRPr="0030161C" w:rsidRDefault="0030161C" w:rsidP="0030161C">
      <w:pPr>
        <w:rPr>
          <w:rFonts w:ascii="Calibri" w:eastAsia="Calibri" w:hAnsi="Calibri" w:cs="Calibri"/>
        </w:rPr>
      </w:pPr>
    </w:p>
    <w:p w:rsidR="0030161C" w:rsidRPr="0030161C" w:rsidRDefault="0030161C" w:rsidP="0030161C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  <w:r w:rsidRPr="0030161C">
        <w:rPr>
          <w:rFonts w:ascii="Calibri" w:eastAsia="Times New Roman" w:hAnsi="Calibri" w:cs="Calibri"/>
          <w:b/>
          <w:lang w:eastAsia="pl-PL"/>
        </w:rPr>
        <w:t xml:space="preserve">Dodatkowe informacje dotyczące oferowanego systemu pomiarowego </w:t>
      </w:r>
      <w:r w:rsidRPr="0030161C">
        <w:rPr>
          <w:rFonts w:ascii="Calibri" w:eastAsia="Calibri" w:hAnsi="Calibri" w:cs="Times New Roman"/>
          <w:sz w:val="20"/>
          <w:szCs w:val="20"/>
        </w:rPr>
        <w:t>(można, zgodnie z wyborem Wykonawcy, podać więcej informacji odnoszących się do oferowanego systemu pomiarowego, ale nie są one wymagane)</w:t>
      </w:r>
      <w:r w:rsidRPr="0030161C">
        <w:rPr>
          <w:rFonts w:ascii="Calibri" w:eastAsia="Calibri" w:hAnsi="Calibri" w:cs="Times New Roman"/>
          <w:b/>
          <w:sz w:val="20"/>
          <w:szCs w:val="20"/>
        </w:rPr>
        <w:t>:</w:t>
      </w:r>
    </w:p>
    <w:p w:rsidR="0030161C" w:rsidRPr="0030161C" w:rsidRDefault="0030161C" w:rsidP="0030161C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30161C">
        <w:rPr>
          <w:rFonts w:ascii="Calibri" w:eastAsia="Times New Roman" w:hAnsi="Calibri" w:cs="Calibri"/>
          <w:lang w:eastAsia="pl-PL"/>
        </w:rPr>
        <w:tab/>
      </w:r>
    </w:p>
    <w:p w:rsidR="0030161C" w:rsidRPr="0030161C" w:rsidRDefault="0030161C" w:rsidP="0030161C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30161C">
        <w:rPr>
          <w:rFonts w:ascii="Calibri" w:eastAsia="Times New Roman" w:hAnsi="Calibri" w:cs="Calibri"/>
          <w:lang w:eastAsia="pl-PL"/>
        </w:rPr>
        <w:tab/>
      </w:r>
    </w:p>
    <w:p w:rsidR="0030161C" w:rsidRPr="0030161C" w:rsidRDefault="0030161C" w:rsidP="0030161C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30161C">
        <w:rPr>
          <w:rFonts w:ascii="Calibri" w:eastAsia="Times New Roman" w:hAnsi="Calibri" w:cs="Calibri"/>
          <w:lang w:eastAsia="pl-PL"/>
        </w:rPr>
        <w:tab/>
      </w:r>
    </w:p>
    <w:p w:rsidR="0030161C" w:rsidRPr="0030161C" w:rsidRDefault="0030161C" w:rsidP="0030161C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30161C">
        <w:rPr>
          <w:rFonts w:ascii="Calibri" w:eastAsia="Times New Roman" w:hAnsi="Calibri" w:cs="Calibri"/>
          <w:lang w:eastAsia="pl-PL"/>
        </w:rPr>
        <w:tab/>
      </w:r>
    </w:p>
    <w:p w:rsidR="0030161C" w:rsidRPr="0030161C" w:rsidRDefault="0030161C" w:rsidP="0030161C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30161C">
        <w:rPr>
          <w:rFonts w:ascii="Calibri" w:eastAsia="Times New Roman" w:hAnsi="Calibri" w:cs="Calibri"/>
          <w:lang w:eastAsia="pl-PL"/>
        </w:rPr>
        <w:tab/>
      </w:r>
    </w:p>
    <w:p w:rsidR="0030161C" w:rsidRPr="0030161C" w:rsidRDefault="0030161C" w:rsidP="0030161C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30161C">
        <w:rPr>
          <w:rFonts w:ascii="Calibri" w:eastAsia="Times New Roman" w:hAnsi="Calibri" w:cs="Calibri"/>
          <w:lang w:eastAsia="pl-PL"/>
        </w:rPr>
        <w:tab/>
      </w:r>
    </w:p>
    <w:p w:rsidR="0030161C" w:rsidRPr="0030161C" w:rsidRDefault="0030161C" w:rsidP="0030161C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30161C">
        <w:rPr>
          <w:rFonts w:ascii="Calibri" w:eastAsia="Times New Roman" w:hAnsi="Calibri" w:cs="Calibri"/>
          <w:lang w:eastAsia="pl-PL"/>
        </w:rPr>
        <w:tab/>
      </w:r>
    </w:p>
    <w:p w:rsidR="0030161C" w:rsidRPr="0030161C" w:rsidRDefault="0030161C" w:rsidP="0030161C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30161C" w:rsidRPr="0030161C" w:rsidRDefault="0030161C" w:rsidP="0030161C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30161C" w:rsidRPr="0030161C" w:rsidRDefault="0030161C" w:rsidP="0030161C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tbl>
      <w:tblPr>
        <w:tblStyle w:val="Tabela-Siatka5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30161C" w:rsidRPr="0030161C" w:rsidTr="00E446C3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30161C" w:rsidRPr="0030161C" w:rsidRDefault="0030161C" w:rsidP="0030161C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0161C" w:rsidRPr="0030161C" w:rsidRDefault="0030161C" w:rsidP="0030161C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30161C" w:rsidRPr="0030161C" w:rsidRDefault="0030161C" w:rsidP="0030161C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eastAsia="pl-PL"/>
              </w:rPr>
            </w:pPr>
          </w:p>
        </w:tc>
      </w:tr>
      <w:tr w:rsidR="0030161C" w:rsidRPr="0030161C" w:rsidTr="00E446C3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0161C" w:rsidRPr="0030161C" w:rsidRDefault="0030161C" w:rsidP="0030161C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i/>
                <w:lang w:eastAsia="pl-PL"/>
              </w:rPr>
            </w:pPr>
            <w:r w:rsidRPr="0030161C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0161C" w:rsidRPr="0030161C" w:rsidRDefault="0030161C" w:rsidP="0030161C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0161C" w:rsidRPr="0030161C" w:rsidRDefault="0030161C" w:rsidP="0030161C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0161C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30161C" w:rsidRPr="0030161C" w:rsidRDefault="0030161C" w:rsidP="0030161C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cs="Calibri"/>
                <w:lang w:eastAsia="pl-PL"/>
              </w:rPr>
            </w:pPr>
            <w:r w:rsidRPr="0030161C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6023E2" w:rsidRDefault="006023E2">
      <w:bookmarkStart w:id="0" w:name="_GoBack"/>
      <w:bookmarkEnd w:id="0"/>
    </w:p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140F" w:rsidRDefault="008B140F" w:rsidP="0030161C">
      <w:r>
        <w:separator/>
      </w:r>
    </w:p>
  </w:endnote>
  <w:endnote w:type="continuationSeparator" w:id="0">
    <w:p w:rsidR="008B140F" w:rsidRDefault="008B140F" w:rsidP="00301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161C" w:rsidRPr="0030161C" w:rsidRDefault="0030161C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30161C">
      <w:rPr>
        <w:rFonts w:ascii="Calibri" w:hAnsi="Calibri" w:cs="Calibri"/>
        <w:sz w:val="22"/>
        <w:szCs w:val="22"/>
      </w:rPr>
      <w:t xml:space="preserve">Strona </w:t>
    </w:r>
    <w:r w:rsidRPr="0030161C">
      <w:rPr>
        <w:rFonts w:ascii="Calibri" w:hAnsi="Calibri" w:cs="Calibri"/>
        <w:sz w:val="22"/>
        <w:szCs w:val="22"/>
      </w:rPr>
      <w:fldChar w:fldCharType="begin"/>
    </w:r>
    <w:r w:rsidRPr="0030161C">
      <w:rPr>
        <w:rFonts w:ascii="Calibri" w:hAnsi="Calibri" w:cs="Calibri"/>
        <w:sz w:val="22"/>
        <w:szCs w:val="22"/>
      </w:rPr>
      <w:instrText xml:space="preserve"> PAGE   \* MERGEFORMAT </w:instrText>
    </w:r>
    <w:r w:rsidRPr="0030161C">
      <w:rPr>
        <w:rFonts w:ascii="Calibri" w:hAnsi="Calibri" w:cs="Calibri"/>
        <w:sz w:val="22"/>
        <w:szCs w:val="22"/>
      </w:rPr>
      <w:fldChar w:fldCharType="separate"/>
    </w:r>
    <w:r w:rsidRPr="0030161C">
      <w:rPr>
        <w:rFonts w:ascii="Calibri" w:hAnsi="Calibri" w:cs="Calibri"/>
        <w:noProof/>
        <w:sz w:val="22"/>
        <w:szCs w:val="22"/>
      </w:rPr>
      <w:t>5</w:t>
    </w:r>
    <w:r w:rsidRPr="0030161C">
      <w:rPr>
        <w:rFonts w:ascii="Calibri" w:hAnsi="Calibri" w:cs="Calibri"/>
        <w:sz w:val="22"/>
        <w:szCs w:val="22"/>
      </w:rPr>
      <w:fldChar w:fldCharType="end"/>
    </w:r>
    <w:r w:rsidRPr="0030161C">
      <w:rPr>
        <w:rFonts w:ascii="Calibri" w:hAnsi="Calibri" w:cs="Calibri"/>
        <w:sz w:val="22"/>
        <w:szCs w:val="22"/>
      </w:rPr>
      <w:t xml:space="preserve"> z </w:t>
    </w:r>
    <w:r>
      <w:fldChar w:fldCharType="begin"/>
    </w:r>
    <w:r>
      <w:instrText xml:space="preserve"> SECTIONPAGES   \* MERGEFORMAT </w:instrText>
    </w:r>
    <w:r>
      <w:fldChar w:fldCharType="separate"/>
    </w:r>
    <w:r w:rsidRPr="0030161C">
      <w:rPr>
        <w:rFonts w:ascii="Calibri" w:hAnsi="Calibri" w:cs="Calibri"/>
        <w:noProof/>
        <w:sz w:val="22"/>
        <w:szCs w:val="22"/>
      </w:rPr>
      <w:t>5</w:t>
    </w:r>
    <w:r w:rsidRPr="0030161C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140F" w:rsidRDefault="008B140F" w:rsidP="0030161C">
      <w:r>
        <w:separator/>
      </w:r>
    </w:p>
  </w:footnote>
  <w:footnote w:type="continuationSeparator" w:id="0">
    <w:p w:rsidR="008B140F" w:rsidRDefault="008B140F" w:rsidP="0030161C">
      <w:r>
        <w:continuationSeparator/>
      </w:r>
    </w:p>
  </w:footnote>
  <w:footnote w:id="1">
    <w:p w:rsidR="0030161C" w:rsidRPr="0030161C" w:rsidRDefault="0030161C" w:rsidP="0030161C">
      <w:pPr>
        <w:pStyle w:val="Tekstprzypisudolnego"/>
        <w:rPr>
          <w:rFonts w:ascii="Calibri" w:hAnsi="Calibri" w:cs="Calibri"/>
        </w:rPr>
      </w:pPr>
      <w:r w:rsidRPr="0030161C">
        <w:rPr>
          <w:rStyle w:val="Odwoanieprzypisudolnego"/>
          <w:rFonts w:ascii="Calibri" w:hAnsi="Calibri" w:cs="Calibri"/>
        </w:rPr>
        <w:footnoteRef/>
      </w:r>
      <w:r w:rsidRPr="0030161C">
        <w:rPr>
          <w:rFonts w:ascii="Calibri" w:hAnsi="Calibri" w:cs="Calibri"/>
        </w:rPr>
        <w:t xml:space="preserve"> Niepotrzebne skreślić.</w:t>
      </w:r>
    </w:p>
  </w:footnote>
  <w:footnote w:id="2">
    <w:p w:rsidR="0030161C" w:rsidRPr="0030161C" w:rsidRDefault="0030161C" w:rsidP="0030161C">
      <w:pPr>
        <w:pStyle w:val="Tekstprzypisudolnego"/>
        <w:rPr>
          <w:rFonts w:ascii="Calibri" w:hAnsi="Calibri" w:cs="Calibri"/>
        </w:rPr>
      </w:pPr>
      <w:r w:rsidRPr="0030161C">
        <w:rPr>
          <w:rStyle w:val="Odwoanieprzypisudolnego"/>
          <w:rFonts w:ascii="Calibri" w:hAnsi="Calibri" w:cs="Calibri"/>
        </w:rPr>
        <w:footnoteRef/>
      </w:r>
      <w:r w:rsidRPr="0030161C">
        <w:rPr>
          <w:rFonts w:ascii="Calibri" w:hAnsi="Calibri" w:cs="Calibri"/>
        </w:rPr>
        <w:t xml:space="preserve"> Niepotrzebne skreślić.</w:t>
      </w:r>
    </w:p>
  </w:footnote>
  <w:footnote w:id="3">
    <w:p w:rsidR="0030161C" w:rsidRPr="0030161C" w:rsidRDefault="0030161C" w:rsidP="0030161C">
      <w:pPr>
        <w:pStyle w:val="Tekstprzypisudolnego"/>
        <w:rPr>
          <w:rFonts w:ascii="Calibri" w:hAnsi="Calibri" w:cs="Calibri"/>
        </w:rPr>
      </w:pPr>
      <w:r w:rsidRPr="0030161C">
        <w:rPr>
          <w:rStyle w:val="Odwoanieprzypisudolnego"/>
          <w:rFonts w:ascii="Calibri" w:hAnsi="Calibri" w:cs="Calibri"/>
        </w:rPr>
        <w:footnoteRef/>
      </w:r>
      <w:r w:rsidRPr="0030161C">
        <w:rPr>
          <w:rFonts w:ascii="Calibri" w:hAnsi="Calibri" w:cs="Calibri"/>
        </w:rPr>
        <w:t xml:space="preserve"> Niepotrzebne skreślić.</w:t>
      </w:r>
    </w:p>
  </w:footnote>
  <w:footnote w:id="4">
    <w:p w:rsidR="0030161C" w:rsidRPr="0030161C" w:rsidRDefault="0030161C" w:rsidP="0030161C">
      <w:pPr>
        <w:pStyle w:val="Tekstprzypisudolnego"/>
        <w:rPr>
          <w:rFonts w:ascii="Calibri" w:hAnsi="Calibri" w:cs="Calibri"/>
        </w:rPr>
      </w:pPr>
      <w:r w:rsidRPr="0030161C">
        <w:rPr>
          <w:rStyle w:val="Odwoanieprzypisudolnego"/>
          <w:rFonts w:ascii="Calibri" w:hAnsi="Calibri" w:cs="Calibri"/>
        </w:rPr>
        <w:footnoteRef/>
      </w:r>
      <w:r w:rsidRPr="0030161C">
        <w:rPr>
          <w:rFonts w:ascii="Calibri" w:hAnsi="Calibri" w:cs="Calibri"/>
        </w:rPr>
        <w:t xml:space="preserve"> Niepotrzebne skreślić.</w:t>
      </w:r>
    </w:p>
  </w:footnote>
  <w:footnote w:id="5">
    <w:p w:rsidR="0030161C" w:rsidRPr="0030161C" w:rsidRDefault="0030161C" w:rsidP="0030161C">
      <w:pPr>
        <w:pStyle w:val="Tekstprzypisudolnego"/>
        <w:rPr>
          <w:rFonts w:ascii="Calibri" w:hAnsi="Calibri" w:cs="Calibri"/>
        </w:rPr>
      </w:pPr>
      <w:r w:rsidRPr="0030161C">
        <w:rPr>
          <w:rStyle w:val="Odwoanieprzypisudolnego"/>
          <w:rFonts w:ascii="Calibri" w:hAnsi="Calibri" w:cs="Calibri"/>
        </w:rPr>
        <w:footnoteRef/>
      </w:r>
      <w:r w:rsidRPr="0030161C">
        <w:rPr>
          <w:rFonts w:ascii="Calibri" w:hAnsi="Calibri" w:cs="Calibri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161C" w:rsidRPr="0030161C" w:rsidRDefault="0030161C" w:rsidP="00DD2DF7">
    <w:pPr>
      <w:pStyle w:val="Nagwek"/>
      <w:jc w:val="center"/>
      <w:rPr>
        <w:rFonts w:cs="Calibri"/>
        <w:sz w:val="20"/>
      </w:rPr>
    </w:pPr>
    <w:r w:rsidRPr="0030161C">
      <w:rPr>
        <w:rFonts w:cs="Calibri"/>
        <w:sz w:val="20"/>
      </w:rPr>
      <w:t>Specyfikacja Warunków Zamówienia, numer referencyjny postępowania ZA/06/2021</w:t>
    </w:r>
  </w:p>
  <w:p w:rsidR="0030161C" w:rsidRPr="0030161C" w:rsidRDefault="0030161C" w:rsidP="00DD2DF7">
    <w:pPr>
      <w:pStyle w:val="Nagwek"/>
      <w:jc w:val="center"/>
      <w:rPr>
        <w:rFonts w:cs="Calibri"/>
        <w:b/>
      </w:rPr>
    </w:pPr>
    <w:r w:rsidRPr="0030161C">
      <w:rPr>
        <w:rFonts w:cs="Calibri"/>
        <w:b/>
      </w:rPr>
      <w:t>Załącznik nr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61C"/>
    <w:rsid w:val="000E1F29"/>
    <w:rsid w:val="001A2BCB"/>
    <w:rsid w:val="00213C51"/>
    <w:rsid w:val="0030161C"/>
    <w:rsid w:val="006023E2"/>
    <w:rsid w:val="008B140F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E2345D-F4E8-4CA8-8C61-FE11B21D5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016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0161C"/>
  </w:style>
  <w:style w:type="paragraph" w:styleId="Stopka">
    <w:name w:val="footer"/>
    <w:basedOn w:val="Normalny"/>
    <w:link w:val="StopkaZnak"/>
    <w:uiPriority w:val="99"/>
    <w:rsid w:val="0030161C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016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0161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16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30161C"/>
    <w:rPr>
      <w:vertAlign w:val="superscript"/>
    </w:rPr>
  </w:style>
  <w:style w:type="table" w:customStyle="1" w:styleId="Tabela-Siatka5">
    <w:name w:val="Tabela - Siatka5"/>
    <w:basedOn w:val="Standardowy"/>
    <w:next w:val="Tabela-Siatka"/>
    <w:uiPriority w:val="59"/>
    <w:rsid w:val="0030161C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016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929</Words>
  <Characters>5574</Characters>
  <Application>Microsoft Office Word</Application>
  <DocSecurity>0</DocSecurity>
  <Lines>46</Lines>
  <Paragraphs>12</Paragraphs>
  <ScaleCrop>false</ScaleCrop>
  <Company/>
  <LinksUpToDate>false</LinksUpToDate>
  <CharactersWithSpaces>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2021-04-19T07:57:00Z</dcterms:created>
  <dcterms:modified xsi:type="dcterms:W3CDTF">2021-04-19T07:59:00Z</dcterms:modified>
</cp:coreProperties>
</file>